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C0DF7" w14:textId="526687A6" w:rsidR="00335B56" w:rsidRDefault="002D22A4">
      <w:r>
        <w:rPr>
          <w:noProof/>
        </w:rPr>
        <w:drawing>
          <wp:inline distT="0" distB="0" distL="0" distR="0" wp14:anchorId="426EDA20" wp14:editId="5D20B439">
            <wp:extent cx="5731510" cy="1334135"/>
            <wp:effectExtent l="0" t="0" r="2540" b="0"/>
            <wp:docPr id="17143275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32755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3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B035F" w14:textId="77777777" w:rsidR="002D22A4" w:rsidRPr="002D22A4" w:rsidRDefault="002D22A4" w:rsidP="002D22A4">
      <w:pPr>
        <w:rPr>
          <w:rFonts w:ascii="Calibri" w:hAnsi="Calibri" w:cs="Calibri"/>
          <w:b/>
          <w:bCs/>
        </w:rPr>
      </w:pPr>
      <w:r w:rsidRPr="002D22A4">
        <w:rPr>
          <w:rFonts w:ascii="Calibri" w:hAnsi="Calibri" w:cs="Calibri"/>
          <w:b/>
          <w:bCs/>
        </w:rPr>
        <w:t xml:space="preserve">This task is required to be completed and brought with you to the prepare for foundation programme. </w:t>
      </w:r>
    </w:p>
    <w:p w14:paraId="2FBD8F92" w14:textId="341D44BB" w:rsidR="002D22A4" w:rsidRPr="002D22A4" w:rsidRDefault="002D22A4" w:rsidP="002D22A4">
      <w:pPr>
        <w:rPr>
          <w:rFonts w:ascii="Calibri" w:hAnsi="Calibri" w:cs="Calibri"/>
        </w:rPr>
      </w:pPr>
      <w:r w:rsidRPr="002D22A4">
        <w:rPr>
          <w:rFonts w:ascii="Calibri" w:hAnsi="Calibri" w:cs="Calibri"/>
          <w:b/>
          <w:bCs/>
          <w:u w:val="single"/>
        </w:rPr>
        <w:t>Unfortunately, if you do not complete the pre-session task you will not be permitted to attend and you will be asked to re book onto another prepare for foundation programme</w:t>
      </w:r>
      <w:r w:rsidRPr="002D22A4">
        <w:rPr>
          <w:rFonts w:ascii="Calibri" w:hAnsi="Calibri" w:cs="Calibri"/>
        </w:rPr>
        <w:t>.</w:t>
      </w:r>
    </w:p>
    <w:p w14:paraId="4932884C" w14:textId="08E36C67" w:rsidR="002D22A4" w:rsidRDefault="002D22A4" w:rsidP="002D22A4">
      <w:pPr>
        <w:rPr>
          <w:rFonts w:ascii="Calibri" w:hAnsi="Calibri" w:cs="Calibri"/>
        </w:rPr>
      </w:pPr>
      <w:r w:rsidRPr="002D22A4">
        <w:rPr>
          <w:rFonts w:ascii="Calibri" w:hAnsi="Calibri" w:cs="Calibri"/>
        </w:rPr>
        <w:t xml:space="preserve">If you have any queries regarding the course or pre-session task, then please contact </w:t>
      </w:r>
      <w:hyperlink r:id="rId5" w:history="1">
        <w:r w:rsidRPr="002D22A4">
          <w:rPr>
            <w:rStyle w:val="Hyperlink"/>
            <w:rFonts w:ascii="Calibri" w:hAnsi="Calibri" w:cs="Calibri"/>
          </w:rPr>
          <w:t>pff@wlv.ac.uk</w:t>
        </w:r>
      </w:hyperlink>
      <w:r w:rsidRPr="002D22A4">
        <w:rPr>
          <w:rFonts w:ascii="Calibri" w:hAnsi="Calibri" w:cs="Calibri"/>
        </w:rPr>
        <w:t xml:space="preserve"> </w:t>
      </w:r>
    </w:p>
    <w:p w14:paraId="08CF4854" w14:textId="77777777" w:rsidR="002D22A4" w:rsidRDefault="002D22A4" w:rsidP="002D22A4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22A4" w14:paraId="1628C390" w14:textId="77777777" w:rsidTr="002D22A4">
        <w:tc>
          <w:tcPr>
            <w:tcW w:w="9016" w:type="dxa"/>
          </w:tcPr>
          <w:p w14:paraId="14C8B328" w14:textId="77777777" w:rsidR="002D22A4" w:rsidRPr="00144984" w:rsidRDefault="002D22A4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984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  <w:p w14:paraId="4366A33C" w14:textId="77777777" w:rsidR="002D22A4" w:rsidRPr="00144984" w:rsidRDefault="002D22A4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F06392" w14:textId="15C844E2" w:rsidR="002D22A4" w:rsidRPr="00144984" w:rsidRDefault="002D22A4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22A4" w14:paraId="0BE6D19B" w14:textId="77777777" w:rsidTr="002D22A4">
        <w:tc>
          <w:tcPr>
            <w:tcW w:w="9016" w:type="dxa"/>
          </w:tcPr>
          <w:p w14:paraId="7151D33E" w14:textId="77777777" w:rsidR="002D22A4" w:rsidRPr="00144984" w:rsidRDefault="002D22A4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984">
              <w:rPr>
                <w:rFonts w:ascii="Arial" w:hAnsi="Arial" w:cs="Arial"/>
                <w:b/>
                <w:bCs/>
                <w:sz w:val="20"/>
                <w:szCs w:val="20"/>
              </w:rPr>
              <w:t>Student Number</w:t>
            </w:r>
          </w:p>
          <w:p w14:paraId="107CBBBC" w14:textId="77777777" w:rsidR="002D22A4" w:rsidRPr="00144984" w:rsidRDefault="002D22A4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E337F7" w14:textId="25C98ABB" w:rsidR="002D22A4" w:rsidRPr="00144984" w:rsidRDefault="002D22A4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22A4" w14:paraId="7B51E9AC" w14:textId="77777777" w:rsidTr="002D22A4">
        <w:tc>
          <w:tcPr>
            <w:tcW w:w="9016" w:type="dxa"/>
          </w:tcPr>
          <w:p w14:paraId="1D19BB59" w14:textId="77777777" w:rsidR="002D22A4" w:rsidRPr="00144984" w:rsidRDefault="002D22A4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984">
              <w:rPr>
                <w:rFonts w:ascii="Arial" w:hAnsi="Arial" w:cs="Arial"/>
                <w:b/>
                <w:bCs/>
                <w:sz w:val="20"/>
                <w:szCs w:val="20"/>
              </w:rPr>
              <w:t>Date of Prepare for Foundation Course.</w:t>
            </w:r>
          </w:p>
          <w:p w14:paraId="308FD3F9" w14:textId="77777777" w:rsidR="002D22A4" w:rsidRPr="00144984" w:rsidRDefault="002D22A4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103D6BD" w14:textId="0BE32D60" w:rsidR="002D22A4" w:rsidRPr="00144984" w:rsidRDefault="002D22A4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22A4" w14:paraId="5BBF9EA6" w14:textId="77777777" w:rsidTr="002D22A4">
        <w:tc>
          <w:tcPr>
            <w:tcW w:w="9016" w:type="dxa"/>
          </w:tcPr>
          <w:p w14:paraId="021266EB" w14:textId="77777777" w:rsidR="002D22A4" w:rsidRPr="00144984" w:rsidRDefault="002D22A4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984">
              <w:rPr>
                <w:rFonts w:ascii="Arial" w:hAnsi="Arial" w:cs="Arial"/>
                <w:b/>
                <w:bCs/>
                <w:sz w:val="20"/>
                <w:szCs w:val="20"/>
              </w:rPr>
              <w:t>What course(s)have you applied for?</w:t>
            </w:r>
          </w:p>
          <w:p w14:paraId="69C93AB8" w14:textId="77777777" w:rsidR="002D22A4" w:rsidRPr="00144984" w:rsidRDefault="002D22A4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07E6399" w14:textId="310778FB" w:rsidR="002D22A4" w:rsidRPr="00144984" w:rsidRDefault="002D22A4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22A4" w14:paraId="78EB6A07" w14:textId="77777777" w:rsidTr="002D22A4">
        <w:tc>
          <w:tcPr>
            <w:tcW w:w="9016" w:type="dxa"/>
          </w:tcPr>
          <w:p w14:paraId="12157AC1" w14:textId="77777777" w:rsidR="002D22A4" w:rsidRPr="00144984" w:rsidRDefault="002D22A4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984">
              <w:rPr>
                <w:rFonts w:ascii="Arial" w:hAnsi="Arial" w:cs="Arial"/>
                <w:b/>
                <w:bCs/>
                <w:sz w:val="20"/>
                <w:szCs w:val="20"/>
              </w:rPr>
              <w:t>What campus is this studied at?</w:t>
            </w:r>
          </w:p>
          <w:p w14:paraId="3DE45BD5" w14:textId="77777777" w:rsidR="002D22A4" w:rsidRPr="00144984" w:rsidRDefault="002D22A4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1363DBD" w14:textId="2E5618F0" w:rsidR="002D22A4" w:rsidRPr="00144984" w:rsidRDefault="002D22A4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22A4" w14:paraId="5697846A" w14:textId="77777777" w:rsidTr="002D22A4">
        <w:tc>
          <w:tcPr>
            <w:tcW w:w="9016" w:type="dxa"/>
          </w:tcPr>
          <w:p w14:paraId="77BD1B19" w14:textId="77777777" w:rsidR="002D22A4" w:rsidRPr="00144984" w:rsidRDefault="002D22A4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984">
              <w:rPr>
                <w:rFonts w:ascii="Arial" w:hAnsi="Arial" w:cs="Arial"/>
                <w:b/>
                <w:bCs/>
                <w:sz w:val="20"/>
                <w:szCs w:val="20"/>
              </w:rPr>
              <w:t>Why have you chosen this career? (300 words)</w:t>
            </w:r>
          </w:p>
          <w:p w14:paraId="2EFC5A35" w14:textId="77777777" w:rsidR="002D22A4" w:rsidRPr="00144984" w:rsidRDefault="002D22A4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BF6A5B2" w14:textId="77777777" w:rsidR="002D22A4" w:rsidRPr="00144984" w:rsidRDefault="002D22A4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24D8E31" w14:textId="77777777" w:rsidR="002D22A4" w:rsidRPr="00144984" w:rsidRDefault="002D22A4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72B99E" w14:textId="77777777" w:rsidR="002D22A4" w:rsidRPr="00144984" w:rsidRDefault="002D22A4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524154A" w14:textId="77777777" w:rsidR="002D22A4" w:rsidRPr="00144984" w:rsidRDefault="002D22A4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5D4F475" w14:textId="77777777" w:rsidR="002D22A4" w:rsidRPr="00144984" w:rsidRDefault="002D22A4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375F67" w14:textId="77777777" w:rsidR="002D22A4" w:rsidRPr="00144984" w:rsidRDefault="002D22A4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859F6F3" w14:textId="77777777" w:rsidR="002D22A4" w:rsidRPr="00144984" w:rsidRDefault="002D22A4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190F094" w14:textId="77777777" w:rsidR="002D22A4" w:rsidRPr="00144984" w:rsidRDefault="002D22A4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6BCEF2" w14:textId="77777777" w:rsidR="002D22A4" w:rsidRPr="00144984" w:rsidRDefault="002D22A4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A4F7DBC" w14:textId="27ED0389" w:rsidR="002D22A4" w:rsidRPr="00144984" w:rsidRDefault="002D22A4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22A4" w14:paraId="5B485C45" w14:textId="77777777" w:rsidTr="002D22A4">
        <w:tc>
          <w:tcPr>
            <w:tcW w:w="9016" w:type="dxa"/>
          </w:tcPr>
          <w:p w14:paraId="16C8C300" w14:textId="2327414C" w:rsidR="002D22A4" w:rsidRPr="00144984" w:rsidRDefault="002D22A4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984">
              <w:rPr>
                <w:rFonts w:ascii="Arial" w:hAnsi="Arial" w:cs="Arial"/>
                <w:b/>
                <w:bCs/>
                <w:sz w:val="20"/>
                <w:szCs w:val="20"/>
              </w:rPr>
              <w:t>What facilities is there available at the campus you will be studying on for your chosen field/ specific course? (150 words)</w:t>
            </w:r>
          </w:p>
          <w:p w14:paraId="6A05F192" w14:textId="77777777" w:rsidR="002D22A4" w:rsidRPr="00144984" w:rsidRDefault="002D22A4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246AEA6" w14:textId="77777777" w:rsidR="002D22A4" w:rsidRPr="00144984" w:rsidRDefault="002D22A4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929F1B4" w14:textId="77777777" w:rsidR="002D22A4" w:rsidRPr="00144984" w:rsidRDefault="002D22A4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AEE1B45" w14:textId="77777777" w:rsidR="002D22A4" w:rsidRPr="00144984" w:rsidRDefault="002D22A4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4B5BA74" w14:textId="77777777" w:rsidR="002D22A4" w:rsidRPr="00144984" w:rsidRDefault="002D22A4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E1A569E" w14:textId="77777777" w:rsidR="002D22A4" w:rsidRPr="00144984" w:rsidRDefault="002D22A4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E298E05" w14:textId="77777777" w:rsidR="002D22A4" w:rsidRPr="00144984" w:rsidRDefault="002D22A4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ABE22C3" w14:textId="7E2D6FFD" w:rsidR="002D22A4" w:rsidRPr="00144984" w:rsidRDefault="002D22A4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22A4" w14:paraId="1F83C170" w14:textId="77777777" w:rsidTr="002D22A4">
        <w:tc>
          <w:tcPr>
            <w:tcW w:w="9016" w:type="dxa"/>
          </w:tcPr>
          <w:p w14:paraId="04C7A0F4" w14:textId="77777777" w:rsidR="002D22A4" w:rsidRPr="00144984" w:rsidRDefault="00E45EC8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984">
              <w:rPr>
                <w:rFonts w:ascii="Arial" w:hAnsi="Arial" w:cs="Arial"/>
                <w:b/>
                <w:bCs/>
                <w:sz w:val="20"/>
                <w:szCs w:val="20"/>
              </w:rPr>
              <w:t>Which organisation is responsible for regulating your chosen course/career?</w:t>
            </w:r>
          </w:p>
          <w:p w14:paraId="4EBD86A0" w14:textId="77777777" w:rsidR="00E45EC8" w:rsidRPr="00144984" w:rsidRDefault="00E45EC8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895C6B" w14:textId="77777777" w:rsidR="00E45EC8" w:rsidRPr="00144984" w:rsidRDefault="00E45EC8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2089D36" w14:textId="7A90F579" w:rsidR="00E45EC8" w:rsidRPr="00144984" w:rsidRDefault="00E45EC8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22A4" w14:paraId="5B56E3F2" w14:textId="77777777" w:rsidTr="002D22A4">
        <w:tc>
          <w:tcPr>
            <w:tcW w:w="9016" w:type="dxa"/>
          </w:tcPr>
          <w:p w14:paraId="6664FFE5" w14:textId="77777777" w:rsidR="002D22A4" w:rsidRPr="00144984" w:rsidRDefault="00E45EC8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98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Which modules are you most looking forward to studying on the foundation year and why? (300 words)</w:t>
            </w:r>
          </w:p>
          <w:p w14:paraId="5050979E" w14:textId="77777777" w:rsidR="00E45EC8" w:rsidRPr="00144984" w:rsidRDefault="00E45EC8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24A18C5" w14:textId="77777777" w:rsidR="00E45EC8" w:rsidRPr="00144984" w:rsidRDefault="00E45EC8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888E498" w14:textId="77777777" w:rsidR="00E45EC8" w:rsidRPr="00144984" w:rsidRDefault="00E45EC8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2B53B19" w14:textId="77777777" w:rsidR="00E45EC8" w:rsidRPr="00144984" w:rsidRDefault="00E45EC8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D9E010F" w14:textId="77777777" w:rsidR="00E45EC8" w:rsidRPr="00144984" w:rsidRDefault="00E45EC8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6D04722" w14:textId="77777777" w:rsidR="00E45EC8" w:rsidRPr="00144984" w:rsidRDefault="00E45EC8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B0E7C52" w14:textId="77777777" w:rsidR="00E45EC8" w:rsidRPr="00144984" w:rsidRDefault="00E45EC8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E8731A6" w14:textId="77777777" w:rsidR="00E45EC8" w:rsidRPr="00144984" w:rsidRDefault="00E45EC8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5F2BFD" w14:textId="77777777" w:rsidR="00E45EC8" w:rsidRPr="00144984" w:rsidRDefault="00E45EC8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DFA6151" w14:textId="77777777" w:rsidR="00E45EC8" w:rsidRPr="00144984" w:rsidRDefault="00E45EC8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870D0F4" w14:textId="77777777" w:rsidR="00E45EC8" w:rsidRPr="00144984" w:rsidRDefault="00E45EC8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022421E" w14:textId="77777777" w:rsidR="00E45EC8" w:rsidRPr="00144984" w:rsidRDefault="00E45EC8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6B013A2" w14:textId="77777777" w:rsidR="00E45EC8" w:rsidRPr="00144984" w:rsidRDefault="00E45EC8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CA0AE99" w14:textId="4EFDFE49" w:rsidR="00E45EC8" w:rsidRPr="00144984" w:rsidRDefault="00E45EC8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22A4" w14:paraId="00499FD9" w14:textId="77777777" w:rsidTr="002D22A4">
        <w:tc>
          <w:tcPr>
            <w:tcW w:w="9016" w:type="dxa"/>
          </w:tcPr>
          <w:p w14:paraId="5C021BB4" w14:textId="77777777" w:rsidR="002D22A4" w:rsidRPr="00144984" w:rsidRDefault="00E45EC8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984">
              <w:rPr>
                <w:rFonts w:ascii="Arial" w:hAnsi="Arial" w:cs="Arial"/>
                <w:b/>
                <w:bCs/>
                <w:sz w:val="20"/>
                <w:szCs w:val="20"/>
              </w:rPr>
              <w:t>What will be your biggest concern as a student and how do you intend to deal with this? (350 words)</w:t>
            </w:r>
          </w:p>
          <w:p w14:paraId="533BDA2E" w14:textId="77777777" w:rsidR="00E45EC8" w:rsidRPr="00144984" w:rsidRDefault="00E45EC8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2C21CBF" w14:textId="77777777" w:rsidR="00E45EC8" w:rsidRPr="00144984" w:rsidRDefault="00E45EC8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28822C" w14:textId="77777777" w:rsidR="00E45EC8" w:rsidRPr="00144984" w:rsidRDefault="00E45EC8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1384CF1" w14:textId="77777777" w:rsidR="00E45EC8" w:rsidRPr="00144984" w:rsidRDefault="00E45EC8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780B04A" w14:textId="77777777" w:rsidR="00E45EC8" w:rsidRPr="00144984" w:rsidRDefault="00E45EC8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47821C5" w14:textId="77777777" w:rsidR="00E45EC8" w:rsidRPr="00144984" w:rsidRDefault="00E45EC8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54CB352" w14:textId="77777777" w:rsidR="00E45EC8" w:rsidRPr="00144984" w:rsidRDefault="00E45EC8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9E899D5" w14:textId="77777777" w:rsidR="00E45EC8" w:rsidRPr="00144984" w:rsidRDefault="00E45EC8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A482432" w14:textId="77777777" w:rsidR="00E45EC8" w:rsidRPr="00144984" w:rsidRDefault="00E45EC8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34F86DC" w14:textId="77777777" w:rsidR="00E45EC8" w:rsidRPr="00144984" w:rsidRDefault="00E45EC8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260FFEF" w14:textId="77777777" w:rsidR="00E45EC8" w:rsidRPr="00144984" w:rsidRDefault="00E45EC8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ECEF7B3" w14:textId="77777777" w:rsidR="00E45EC8" w:rsidRPr="00144984" w:rsidRDefault="00E45EC8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1F4C194" w14:textId="77777777" w:rsidR="00E45EC8" w:rsidRPr="00144984" w:rsidRDefault="00E45EC8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BB1288" w14:textId="77777777" w:rsidR="00E45EC8" w:rsidRPr="00144984" w:rsidRDefault="00E45EC8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F7395E1" w14:textId="0FD7B9AA" w:rsidR="00E45EC8" w:rsidRPr="00144984" w:rsidRDefault="00E45EC8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22A4" w14:paraId="68319E69" w14:textId="77777777" w:rsidTr="002D22A4">
        <w:tc>
          <w:tcPr>
            <w:tcW w:w="9016" w:type="dxa"/>
          </w:tcPr>
          <w:p w14:paraId="74FC5709" w14:textId="77777777" w:rsidR="002D22A4" w:rsidRPr="00144984" w:rsidRDefault="00E45EC8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984">
              <w:rPr>
                <w:rFonts w:ascii="Arial" w:hAnsi="Arial" w:cs="Arial"/>
                <w:b/>
                <w:bCs/>
                <w:sz w:val="20"/>
                <w:szCs w:val="20"/>
              </w:rPr>
              <w:t>What work experience or experience of caring responsibilities do you have that will benefit you on your course? (400 words)</w:t>
            </w:r>
          </w:p>
          <w:p w14:paraId="1F00A20D" w14:textId="77777777" w:rsidR="00E45EC8" w:rsidRPr="00144984" w:rsidRDefault="00E45EC8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D87E3A2" w14:textId="77777777" w:rsidR="00E45EC8" w:rsidRPr="00144984" w:rsidRDefault="00E45EC8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99AF3C1" w14:textId="77777777" w:rsidR="00E45EC8" w:rsidRPr="00144984" w:rsidRDefault="00E45EC8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1CF98D7" w14:textId="77777777" w:rsidR="00E45EC8" w:rsidRPr="00144984" w:rsidRDefault="00E45EC8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35ACE6E" w14:textId="77777777" w:rsidR="00E45EC8" w:rsidRPr="00144984" w:rsidRDefault="00E45EC8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D323063" w14:textId="77777777" w:rsidR="00E45EC8" w:rsidRPr="00144984" w:rsidRDefault="00E45EC8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1772FE" w14:textId="77777777" w:rsidR="00E45EC8" w:rsidRPr="00144984" w:rsidRDefault="00E45EC8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2550B6F" w14:textId="77777777" w:rsidR="00E45EC8" w:rsidRPr="00144984" w:rsidRDefault="00E45EC8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9CBA57" w14:textId="77777777" w:rsidR="00E45EC8" w:rsidRPr="00144984" w:rsidRDefault="00E45EC8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4C50F12" w14:textId="77777777" w:rsidR="00E45EC8" w:rsidRPr="00144984" w:rsidRDefault="00E45EC8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C3AC80D" w14:textId="77777777" w:rsidR="00E45EC8" w:rsidRPr="00144984" w:rsidRDefault="00E45EC8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E64F2EA" w14:textId="77777777" w:rsidR="00E45EC8" w:rsidRPr="00144984" w:rsidRDefault="00E45EC8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7439CC7" w14:textId="77777777" w:rsidR="00E45EC8" w:rsidRPr="00144984" w:rsidRDefault="00E45EC8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38609C5" w14:textId="3B9BB77E" w:rsidR="00E45EC8" w:rsidRPr="00144984" w:rsidRDefault="00E45EC8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22A4" w14:paraId="08EE3A73" w14:textId="77777777" w:rsidTr="002D22A4">
        <w:tc>
          <w:tcPr>
            <w:tcW w:w="9016" w:type="dxa"/>
          </w:tcPr>
          <w:p w14:paraId="6A4A03F9" w14:textId="15D3655E" w:rsidR="00E45EC8" w:rsidRPr="00144984" w:rsidRDefault="00E45EC8" w:rsidP="00E45E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984">
              <w:rPr>
                <w:rFonts w:ascii="Arial" w:hAnsi="Arial" w:cs="Arial"/>
                <w:b/>
                <w:bCs/>
                <w:sz w:val="20"/>
                <w:szCs w:val="20"/>
              </w:rPr>
              <w:t>Please note that each course has placement areas allocated to them as below. Where there is</w:t>
            </w:r>
            <w:r w:rsidR="0014498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44984">
              <w:rPr>
                <w:rFonts w:ascii="Arial" w:hAnsi="Arial" w:cs="Arial"/>
                <w:b/>
                <w:bCs/>
                <w:sz w:val="20"/>
                <w:szCs w:val="20"/>
              </w:rPr>
              <w:t>a choice, please tick the placement area which is best for your circumstances. You must be</w:t>
            </w:r>
            <w:r w:rsidR="0014498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44984">
              <w:rPr>
                <w:rFonts w:ascii="Arial" w:hAnsi="Arial" w:cs="Arial"/>
                <w:b/>
                <w:bCs/>
                <w:sz w:val="20"/>
                <w:szCs w:val="20"/>
              </w:rPr>
              <w:t>able to travel to the placement area given to you. There will be no option to change course,</w:t>
            </w:r>
            <w:r w:rsidR="0014498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144984">
              <w:rPr>
                <w:rFonts w:ascii="Arial" w:hAnsi="Arial" w:cs="Arial"/>
                <w:b/>
                <w:bCs/>
                <w:sz w:val="20"/>
                <w:szCs w:val="20"/>
              </w:rPr>
              <w:t>campus</w:t>
            </w:r>
            <w:proofErr w:type="gramEnd"/>
            <w:r w:rsidRPr="0014498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placement area once you have started your course.</w:t>
            </w:r>
          </w:p>
          <w:p w14:paraId="007D040F" w14:textId="77777777" w:rsidR="00144984" w:rsidRDefault="00144984" w:rsidP="00E45E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87547B" w14:textId="69E49034" w:rsidR="00E45EC8" w:rsidRPr="00144984" w:rsidRDefault="00E45EC8" w:rsidP="00E45EC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4498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City</w:t>
            </w:r>
          </w:p>
          <w:p w14:paraId="46C0B12C" w14:textId="77777777" w:rsidR="00E45EC8" w:rsidRPr="00144984" w:rsidRDefault="00E45EC8" w:rsidP="00E45E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984">
              <w:rPr>
                <w:rFonts w:ascii="Arial" w:hAnsi="Arial" w:cs="Arial"/>
                <w:b/>
                <w:bCs/>
                <w:sz w:val="20"/>
                <w:szCs w:val="20"/>
              </w:rPr>
              <w:t>Adult Nursing – Dudley Group Trust or Royal Wolverhampton Trust</w:t>
            </w:r>
          </w:p>
          <w:p w14:paraId="6959D18E" w14:textId="77777777" w:rsidR="00E45EC8" w:rsidRPr="00144984" w:rsidRDefault="00E45EC8" w:rsidP="00E45E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984">
              <w:rPr>
                <w:rFonts w:ascii="Arial" w:hAnsi="Arial" w:cs="Arial"/>
                <w:b/>
                <w:bCs/>
                <w:sz w:val="20"/>
                <w:szCs w:val="20"/>
              </w:rPr>
              <w:t>Mental Health Nursing – Black Country Healthcare Trust</w:t>
            </w:r>
          </w:p>
          <w:p w14:paraId="4E61E967" w14:textId="77777777" w:rsidR="00144984" w:rsidRDefault="00144984" w:rsidP="00E45E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C915FE" w14:textId="5711511F" w:rsidR="00E45EC8" w:rsidRPr="00144984" w:rsidRDefault="00E45EC8" w:rsidP="00E45EC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4498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Telford</w:t>
            </w:r>
          </w:p>
          <w:p w14:paraId="7E5D9034" w14:textId="77777777" w:rsidR="00E45EC8" w:rsidRPr="00144984" w:rsidRDefault="00E45EC8" w:rsidP="00E45E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98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Adult Nursing - Shrewsbury and Telford Hospitals Trust</w:t>
            </w:r>
          </w:p>
          <w:p w14:paraId="66722069" w14:textId="77777777" w:rsidR="00E45EC8" w:rsidRPr="00144984" w:rsidRDefault="00E45EC8" w:rsidP="00E45E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984">
              <w:rPr>
                <w:rFonts w:ascii="Arial" w:hAnsi="Arial" w:cs="Arial"/>
                <w:b/>
                <w:bCs/>
                <w:sz w:val="20"/>
                <w:szCs w:val="20"/>
              </w:rPr>
              <w:t>Mental Health Nursing – Midlands Partnership Foundation Trust plus PVI such as Robert</w:t>
            </w:r>
          </w:p>
          <w:p w14:paraId="4352505C" w14:textId="77777777" w:rsidR="00E45EC8" w:rsidRPr="00144984" w:rsidRDefault="00E45EC8" w:rsidP="00E45E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984">
              <w:rPr>
                <w:rFonts w:ascii="Arial" w:hAnsi="Arial" w:cs="Arial"/>
                <w:b/>
                <w:bCs/>
                <w:sz w:val="20"/>
                <w:szCs w:val="20"/>
              </w:rPr>
              <w:t>Jones and Agnes Hunt. This covers a large geographic area – from Stoke to the Welsh border.</w:t>
            </w:r>
          </w:p>
          <w:p w14:paraId="47E1A8B2" w14:textId="77777777" w:rsidR="00E45EC8" w:rsidRDefault="00E45EC8" w:rsidP="00E45E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984">
              <w:rPr>
                <w:rFonts w:ascii="Arial" w:hAnsi="Arial" w:cs="Arial"/>
                <w:b/>
                <w:bCs/>
                <w:sz w:val="20"/>
                <w:szCs w:val="20"/>
              </w:rPr>
              <w:t>Public transport is limited in many of the rural areas.</w:t>
            </w:r>
          </w:p>
          <w:p w14:paraId="553D0770" w14:textId="77777777" w:rsidR="00144984" w:rsidRPr="00144984" w:rsidRDefault="00144984" w:rsidP="00E45E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11953F" w14:textId="77777777" w:rsidR="00E45EC8" w:rsidRPr="00144984" w:rsidRDefault="00E45EC8" w:rsidP="00E45EC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4498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Walsall</w:t>
            </w:r>
          </w:p>
          <w:p w14:paraId="389770E6" w14:textId="77777777" w:rsidR="00E45EC8" w:rsidRPr="00144984" w:rsidRDefault="00E45EC8" w:rsidP="00E45E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984">
              <w:rPr>
                <w:rFonts w:ascii="Arial" w:hAnsi="Arial" w:cs="Arial"/>
                <w:b/>
                <w:bCs/>
                <w:sz w:val="20"/>
                <w:szCs w:val="20"/>
              </w:rPr>
              <w:t>Adult – Walsall Healthcare Trust, Sandwell and West Birmingham Trust or Derby and Burton</w:t>
            </w:r>
          </w:p>
          <w:p w14:paraId="24D2E752" w14:textId="77777777" w:rsidR="00E45EC8" w:rsidRPr="00144984" w:rsidRDefault="00E45EC8" w:rsidP="00E45E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984">
              <w:rPr>
                <w:rFonts w:ascii="Arial" w:hAnsi="Arial" w:cs="Arial"/>
                <w:b/>
                <w:bCs/>
                <w:sz w:val="20"/>
                <w:szCs w:val="20"/>
              </w:rPr>
              <w:t>Trust</w:t>
            </w:r>
          </w:p>
          <w:p w14:paraId="4A00FE5E" w14:textId="77777777" w:rsidR="00E45EC8" w:rsidRPr="00144984" w:rsidRDefault="00E45EC8" w:rsidP="00E45E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984">
              <w:rPr>
                <w:rFonts w:ascii="Arial" w:hAnsi="Arial" w:cs="Arial"/>
                <w:b/>
                <w:bCs/>
                <w:sz w:val="20"/>
                <w:szCs w:val="20"/>
              </w:rPr>
              <w:t>Child – Walsall Healthcare Trust, Royal Wolverhampton Trust, Dudley Group Trust, Sandwell</w:t>
            </w:r>
          </w:p>
          <w:p w14:paraId="232B443A" w14:textId="77777777" w:rsidR="00E45EC8" w:rsidRPr="00144984" w:rsidRDefault="00E45EC8" w:rsidP="00E45E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98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and West Birmingham Trust, Shrewsbury and Telford Hospitals Trust, </w:t>
            </w:r>
            <w:proofErr w:type="gramStart"/>
            <w:r w:rsidRPr="00144984">
              <w:rPr>
                <w:rFonts w:ascii="Arial" w:hAnsi="Arial" w:cs="Arial"/>
                <w:b/>
                <w:bCs/>
                <w:sz w:val="20"/>
                <w:szCs w:val="20"/>
              </w:rPr>
              <w:t>Derby</w:t>
            </w:r>
            <w:proofErr w:type="gramEnd"/>
            <w:r w:rsidRPr="0014498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Burton Trust</w:t>
            </w:r>
          </w:p>
          <w:p w14:paraId="4DE52402" w14:textId="77777777" w:rsidR="00E45EC8" w:rsidRPr="00144984" w:rsidRDefault="00E45EC8" w:rsidP="00E45E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98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Learning Disability – within a </w:t>
            </w:r>
            <w:proofErr w:type="gramStart"/>
            <w:r w:rsidRPr="00144984">
              <w:rPr>
                <w:rFonts w:ascii="Arial" w:hAnsi="Arial" w:cs="Arial"/>
                <w:b/>
                <w:bCs/>
                <w:sz w:val="20"/>
                <w:szCs w:val="20"/>
              </w:rPr>
              <w:t>25 mile</w:t>
            </w:r>
            <w:proofErr w:type="gramEnd"/>
            <w:r w:rsidRPr="0014498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radius</w:t>
            </w:r>
          </w:p>
          <w:p w14:paraId="6AA350BE" w14:textId="77777777" w:rsidR="00E45EC8" w:rsidRPr="00144984" w:rsidRDefault="00E45EC8" w:rsidP="00E45E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98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Paramedic Science – within a </w:t>
            </w:r>
            <w:proofErr w:type="gramStart"/>
            <w:r w:rsidRPr="00144984">
              <w:rPr>
                <w:rFonts w:ascii="Arial" w:hAnsi="Arial" w:cs="Arial"/>
                <w:b/>
                <w:bCs/>
                <w:sz w:val="20"/>
                <w:szCs w:val="20"/>
              </w:rPr>
              <w:t>25 mile</w:t>
            </w:r>
            <w:proofErr w:type="gramEnd"/>
            <w:r w:rsidRPr="0014498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radius</w:t>
            </w:r>
          </w:p>
          <w:p w14:paraId="165D7812" w14:textId="77777777" w:rsidR="00E45EC8" w:rsidRPr="00144984" w:rsidRDefault="00E45EC8" w:rsidP="00E45E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98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Physiotherapy - within a </w:t>
            </w:r>
            <w:proofErr w:type="gramStart"/>
            <w:r w:rsidRPr="00144984">
              <w:rPr>
                <w:rFonts w:ascii="Arial" w:hAnsi="Arial" w:cs="Arial"/>
                <w:b/>
                <w:bCs/>
                <w:sz w:val="20"/>
                <w:szCs w:val="20"/>
              </w:rPr>
              <w:t>25 mile</w:t>
            </w:r>
            <w:proofErr w:type="gramEnd"/>
            <w:r w:rsidRPr="0014498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radius</w:t>
            </w:r>
          </w:p>
          <w:p w14:paraId="1AD4055C" w14:textId="77777777" w:rsidR="00E45EC8" w:rsidRPr="00144984" w:rsidRDefault="00E45EC8" w:rsidP="00E45E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98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Midwifery - within a </w:t>
            </w:r>
            <w:proofErr w:type="gramStart"/>
            <w:r w:rsidRPr="00144984">
              <w:rPr>
                <w:rFonts w:ascii="Arial" w:hAnsi="Arial" w:cs="Arial"/>
                <w:b/>
                <w:bCs/>
                <w:sz w:val="20"/>
                <w:szCs w:val="20"/>
              </w:rPr>
              <w:t>25 mile</w:t>
            </w:r>
            <w:proofErr w:type="gramEnd"/>
            <w:r w:rsidRPr="0014498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radius</w:t>
            </w:r>
          </w:p>
          <w:p w14:paraId="52DE6473" w14:textId="77777777" w:rsidR="00E45EC8" w:rsidRPr="00144984" w:rsidRDefault="00E45EC8" w:rsidP="00E45E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98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OT - within a </w:t>
            </w:r>
            <w:proofErr w:type="gramStart"/>
            <w:r w:rsidRPr="00144984">
              <w:rPr>
                <w:rFonts w:ascii="Arial" w:hAnsi="Arial" w:cs="Arial"/>
                <w:b/>
                <w:bCs/>
                <w:sz w:val="20"/>
                <w:szCs w:val="20"/>
              </w:rPr>
              <w:t>25 mile</w:t>
            </w:r>
            <w:proofErr w:type="gramEnd"/>
            <w:r w:rsidRPr="0014498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radius</w:t>
            </w:r>
          </w:p>
          <w:p w14:paraId="38C07B4D" w14:textId="77777777" w:rsidR="00E45EC8" w:rsidRDefault="00E45EC8" w:rsidP="00E45E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98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Podiatry - within a </w:t>
            </w:r>
            <w:proofErr w:type="gramStart"/>
            <w:r w:rsidRPr="00144984">
              <w:rPr>
                <w:rFonts w:ascii="Arial" w:hAnsi="Arial" w:cs="Arial"/>
                <w:b/>
                <w:bCs/>
                <w:sz w:val="20"/>
                <w:szCs w:val="20"/>
              </w:rPr>
              <w:t>25 mile</w:t>
            </w:r>
            <w:proofErr w:type="gramEnd"/>
            <w:r w:rsidRPr="0014498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radius</w:t>
            </w:r>
          </w:p>
          <w:p w14:paraId="0E822BAB" w14:textId="77777777" w:rsidR="00144984" w:rsidRPr="00144984" w:rsidRDefault="00144984" w:rsidP="00E45E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B47058D" w14:textId="77777777" w:rsidR="00E45EC8" w:rsidRPr="00144984" w:rsidRDefault="00E45EC8" w:rsidP="00E45E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98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There </w:t>
            </w:r>
            <w:proofErr w:type="gramStart"/>
            <w:r w:rsidRPr="00144984">
              <w:rPr>
                <w:rFonts w:ascii="Arial" w:hAnsi="Arial" w:cs="Arial"/>
                <w:b/>
                <w:bCs/>
                <w:sz w:val="20"/>
                <w:szCs w:val="20"/>
              </w:rPr>
              <w:t>are</w:t>
            </w:r>
            <w:proofErr w:type="gramEnd"/>
            <w:r w:rsidRPr="0014498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 placement in the Foundation Year. In years 2-4 you will be out in placement for</w:t>
            </w:r>
          </w:p>
          <w:p w14:paraId="4406AB8A" w14:textId="3AED2DE9" w:rsidR="00E45EC8" w:rsidRPr="00144984" w:rsidRDefault="00E45EC8" w:rsidP="00E45E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984">
              <w:rPr>
                <w:rFonts w:ascii="Arial" w:hAnsi="Arial" w:cs="Arial"/>
                <w:b/>
                <w:bCs/>
                <w:sz w:val="20"/>
                <w:szCs w:val="20"/>
              </w:rPr>
              <w:t>up to 50% of your course and placements operate 24 hours a day, 7 days a week and include</w:t>
            </w:r>
            <w:r w:rsidR="0014498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4498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Bank Holiday Please tick that you understand this. </w:t>
            </w:r>
          </w:p>
          <w:p w14:paraId="4EEFA5C6" w14:textId="1B2FE49F" w:rsidR="00E45EC8" w:rsidRPr="00144984" w:rsidRDefault="00E45EC8" w:rsidP="00E45E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98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5C35EC6A" wp14:editId="33B75475">
                  <wp:extent cx="286385" cy="280670"/>
                  <wp:effectExtent l="0" t="0" r="0" b="5080"/>
                  <wp:docPr id="6291351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297142F" w14:textId="77777777" w:rsidR="002D22A4" w:rsidRPr="00144984" w:rsidRDefault="002D22A4" w:rsidP="00E45E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5EC8" w14:paraId="7B82C349" w14:textId="77777777" w:rsidTr="002D22A4">
        <w:tc>
          <w:tcPr>
            <w:tcW w:w="9016" w:type="dxa"/>
          </w:tcPr>
          <w:p w14:paraId="282D071A" w14:textId="77777777" w:rsidR="00E45EC8" w:rsidRPr="00144984" w:rsidRDefault="00E45EC8" w:rsidP="00E45E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98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How do you intend to travel to your placements during this course?</w:t>
            </w:r>
          </w:p>
          <w:p w14:paraId="6EF88518" w14:textId="77777777" w:rsidR="00E45EC8" w:rsidRPr="00144984" w:rsidRDefault="00E45EC8" w:rsidP="00E45E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B9A85C2" w14:textId="77777777" w:rsidR="00E45EC8" w:rsidRPr="00144984" w:rsidRDefault="00E45EC8" w:rsidP="00E45E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BCB5606" w14:textId="5A37F36C" w:rsidR="00E45EC8" w:rsidRPr="00144984" w:rsidRDefault="00DD3D16" w:rsidP="00DD3D16">
            <w:pPr>
              <w:tabs>
                <w:tab w:val="left" w:pos="223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984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  <w:p w14:paraId="43E4C0AC" w14:textId="77777777" w:rsidR="00E45EC8" w:rsidRPr="00144984" w:rsidRDefault="00E45EC8" w:rsidP="00E45E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05DB4E" w14:textId="77777777" w:rsidR="00E45EC8" w:rsidRPr="00144984" w:rsidRDefault="00E45EC8" w:rsidP="00E45E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0DF3D48" w14:textId="77777777" w:rsidR="00E45EC8" w:rsidRPr="00144984" w:rsidRDefault="00E45EC8" w:rsidP="00E45E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FEA9946" w14:textId="77777777" w:rsidR="00E45EC8" w:rsidRPr="00144984" w:rsidRDefault="00E45EC8" w:rsidP="00E45E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79ADB8D" w14:textId="77777777" w:rsidR="00E45EC8" w:rsidRPr="00144984" w:rsidRDefault="00E45EC8" w:rsidP="00E45E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C7CD1A1" w14:textId="72C714D5" w:rsidR="00E45EC8" w:rsidRPr="00144984" w:rsidRDefault="00E45EC8" w:rsidP="00E45E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F50E3BD" w14:textId="77777777" w:rsidR="002D22A4" w:rsidRPr="002D22A4" w:rsidRDefault="002D22A4" w:rsidP="002D22A4">
      <w:pPr>
        <w:rPr>
          <w:rFonts w:ascii="Calibri" w:hAnsi="Calibri" w:cs="Calibri"/>
        </w:rPr>
      </w:pPr>
    </w:p>
    <w:sectPr w:rsidR="002D22A4" w:rsidRPr="002D22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2A4"/>
    <w:rsid w:val="00144984"/>
    <w:rsid w:val="002D22A4"/>
    <w:rsid w:val="00335B56"/>
    <w:rsid w:val="009971F0"/>
    <w:rsid w:val="00BD63B9"/>
    <w:rsid w:val="00DD3D16"/>
    <w:rsid w:val="00E4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09EBA"/>
  <w15:chartTrackingRefBased/>
  <w15:docId w15:val="{65287692-28BE-46C7-AB61-2C635A53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22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2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22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22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22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22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22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22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22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22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22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22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22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22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22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22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22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22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22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2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22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22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22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22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22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22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22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22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22A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D22A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22A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D2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pff@wlv.ac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Wolverhampton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Lee</dc:creator>
  <cp:keywords/>
  <dc:description/>
  <cp:lastModifiedBy>Wright, Laura</cp:lastModifiedBy>
  <cp:revision>3</cp:revision>
  <dcterms:created xsi:type="dcterms:W3CDTF">2024-01-17T10:41:00Z</dcterms:created>
  <dcterms:modified xsi:type="dcterms:W3CDTF">2024-01-19T17:32:00Z</dcterms:modified>
</cp:coreProperties>
</file>