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76A89" w14:textId="77777777" w:rsidR="009E5B11" w:rsidRPr="009E5B11" w:rsidRDefault="009E5B11" w:rsidP="009E5B11">
      <w:pPr>
        <w:spacing w:line="254" w:lineRule="auto"/>
        <w:jc w:val="center"/>
        <w:rPr>
          <w:rFonts w:ascii="Century Gothic" w:eastAsia="Calibri" w:hAnsi="Century Gothic" w:cs="Times New Roman"/>
          <w:b/>
        </w:rPr>
      </w:pPr>
      <w:r>
        <w:rPr>
          <w:rFonts w:ascii="Century Gothic" w:eastAsia="Calibri" w:hAnsi="Century Gothic" w:cs="Times New Roman"/>
          <w:b/>
        </w:rPr>
        <w:t>Equality &amp; Diversity Unit Remit</w:t>
      </w:r>
    </w:p>
    <w:p w14:paraId="038EE257" w14:textId="77777777" w:rsidR="009E5B11" w:rsidRDefault="009E5B11" w:rsidP="009E5B11">
      <w:pPr>
        <w:spacing w:after="120" w:line="254" w:lineRule="auto"/>
        <w:jc w:val="both"/>
        <w:rPr>
          <w:rFonts w:ascii="Century Gothic" w:eastAsia="Calibri" w:hAnsi="Century Gothic" w:cs="Times New Roman"/>
          <w:b/>
          <w:sz w:val="19"/>
          <w:szCs w:val="19"/>
        </w:rPr>
      </w:pPr>
      <w:r>
        <w:rPr>
          <w:rFonts w:ascii="Century Gothic" w:eastAsia="Calibri" w:hAnsi="Century Gothic" w:cs="Times New Roman"/>
          <w:b/>
          <w:sz w:val="19"/>
          <w:szCs w:val="19"/>
        </w:rPr>
        <w:t xml:space="preserve">The Need to Outline the EDU’s Remit </w:t>
      </w:r>
    </w:p>
    <w:p w14:paraId="1B8DCB8B" w14:textId="77777777" w:rsidR="009E5B11" w:rsidRDefault="009E5B11" w:rsidP="009E5B11">
      <w:pPr>
        <w:numPr>
          <w:ilvl w:val="0"/>
          <w:numId w:val="1"/>
        </w:numPr>
        <w:spacing w:after="160" w:line="254" w:lineRule="auto"/>
        <w:contextualSpacing/>
        <w:jc w:val="both"/>
        <w:rPr>
          <w:rFonts w:ascii="Century Gothic" w:eastAsia="Calibri" w:hAnsi="Century Gothic" w:cs="Times New Roman"/>
          <w:sz w:val="19"/>
          <w:szCs w:val="19"/>
        </w:rPr>
      </w:pPr>
      <w:r>
        <w:rPr>
          <w:rFonts w:ascii="Century Gothic" w:eastAsia="Calibri" w:hAnsi="Century Gothic" w:cs="Times New Roman"/>
          <w:sz w:val="19"/>
          <w:szCs w:val="19"/>
        </w:rPr>
        <w:t xml:space="preserve">Over the past few years, the University has sought to embed Equality and Diversity in the ‘everyday’ operations of academic departments and professional services. </w:t>
      </w:r>
    </w:p>
    <w:p w14:paraId="29C66638" w14:textId="77777777" w:rsidR="009E5B11" w:rsidRDefault="009E5B11" w:rsidP="009E5B11">
      <w:pPr>
        <w:numPr>
          <w:ilvl w:val="0"/>
          <w:numId w:val="1"/>
        </w:numPr>
        <w:spacing w:after="120" w:line="254" w:lineRule="auto"/>
        <w:contextualSpacing/>
        <w:jc w:val="both"/>
        <w:rPr>
          <w:rFonts w:ascii="Century Gothic" w:eastAsia="Calibri" w:hAnsi="Century Gothic" w:cs="Times New Roman"/>
          <w:b/>
          <w:sz w:val="19"/>
          <w:szCs w:val="19"/>
        </w:rPr>
      </w:pPr>
      <w:r>
        <w:rPr>
          <w:rFonts w:ascii="Century Gothic" w:eastAsia="Calibri" w:hAnsi="Century Gothic" w:cs="Times New Roman"/>
          <w:sz w:val="19"/>
          <w:szCs w:val="19"/>
        </w:rPr>
        <w:t xml:space="preserve">There has been confusion about the role of the Equality and Diversity Unit considering this new approach. The purpose of this paper is to clarify what role the EDU should play in ensuring that the ‘mainstreaming’ of work related to Equality and Diversity succeeds. </w:t>
      </w:r>
    </w:p>
    <w:p w14:paraId="3B4C3A33" w14:textId="77777777" w:rsidR="009E5B11" w:rsidRDefault="009E5B11" w:rsidP="009E5B11">
      <w:pPr>
        <w:numPr>
          <w:ilvl w:val="0"/>
          <w:numId w:val="1"/>
        </w:numPr>
        <w:spacing w:after="120" w:line="254" w:lineRule="auto"/>
        <w:contextualSpacing/>
        <w:jc w:val="both"/>
        <w:rPr>
          <w:rFonts w:ascii="Century Gothic" w:eastAsia="Calibri" w:hAnsi="Century Gothic" w:cs="Times New Roman"/>
          <w:b/>
          <w:sz w:val="19"/>
          <w:szCs w:val="19"/>
        </w:rPr>
      </w:pPr>
      <w:r>
        <w:rPr>
          <w:rFonts w:ascii="Century Gothic" w:eastAsia="Calibri" w:hAnsi="Century Gothic" w:cs="Times New Roman"/>
          <w:sz w:val="19"/>
          <w:szCs w:val="19"/>
        </w:rPr>
        <w:t xml:space="preserve">The new Equality Objectives outlines key targets that the Equality and Diversity Unit will be responsible for ensuring that the University meets i.e. securing recognition through the Stonewall Workplace Equality Index and Race Equality Charter. Therefore its remit needs to be defined to ensure that it is properly focused on these priorities. </w:t>
      </w:r>
    </w:p>
    <w:p w14:paraId="766197C8" w14:textId="77777777" w:rsidR="009E5B11" w:rsidRDefault="009E5B11" w:rsidP="009E5B11">
      <w:pPr>
        <w:spacing w:line="254" w:lineRule="auto"/>
        <w:ind w:left="720"/>
        <w:contextualSpacing/>
        <w:jc w:val="both"/>
        <w:rPr>
          <w:rFonts w:ascii="Century Gothic" w:eastAsia="Calibri" w:hAnsi="Century Gothic" w:cs="Times New Roman"/>
          <w:b/>
          <w:sz w:val="19"/>
          <w:szCs w:val="19"/>
        </w:rPr>
      </w:pPr>
    </w:p>
    <w:p w14:paraId="1908CB05" w14:textId="77777777" w:rsidR="009E5B11" w:rsidRDefault="009E5B11" w:rsidP="009E5B11">
      <w:pPr>
        <w:spacing w:after="120" w:line="254" w:lineRule="auto"/>
        <w:jc w:val="both"/>
        <w:rPr>
          <w:rFonts w:ascii="Century Gothic" w:eastAsia="Calibri" w:hAnsi="Century Gothic" w:cs="Times New Roman"/>
          <w:b/>
          <w:sz w:val="19"/>
          <w:szCs w:val="19"/>
        </w:rPr>
      </w:pPr>
      <w:r>
        <w:rPr>
          <w:rFonts w:ascii="Century Gothic" w:eastAsia="Calibri" w:hAnsi="Century Gothic" w:cs="Times New Roman"/>
          <w:b/>
          <w:sz w:val="19"/>
          <w:szCs w:val="19"/>
        </w:rPr>
        <w:t xml:space="preserve">The Role of the Equality and Diversity Unit </w:t>
      </w:r>
    </w:p>
    <w:p w14:paraId="01613FEF" w14:textId="77777777" w:rsidR="009E5B11" w:rsidRDefault="009E5B11" w:rsidP="009E5B11">
      <w:pPr>
        <w:numPr>
          <w:ilvl w:val="0"/>
          <w:numId w:val="1"/>
        </w:numPr>
        <w:spacing w:after="160" w:line="254" w:lineRule="auto"/>
        <w:contextualSpacing/>
        <w:jc w:val="both"/>
        <w:rPr>
          <w:rFonts w:ascii="Century Gothic" w:eastAsia="Calibri" w:hAnsi="Century Gothic" w:cs="Times New Roman"/>
          <w:sz w:val="19"/>
          <w:szCs w:val="19"/>
        </w:rPr>
      </w:pPr>
      <w:r>
        <w:rPr>
          <w:rFonts w:ascii="Century Gothic" w:eastAsia="Calibri" w:hAnsi="Century Gothic" w:cs="Times New Roman"/>
          <w:sz w:val="19"/>
          <w:szCs w:val="19"/>
        </w:rPr>
        <w:t xml:space="preserve">Underpinning the proposed Equality and Diversity Unit Remit is the belief that the EDU should now focus itself on strategically driving the University’s Equality and Diversity Agenda through developing policy, supporting academic departments and professional services, and educating students, staff and external stakeholders. </w:t>
      </w:r>
    </w:p>
    <w:p w14:paraId="0ADE6162" w14:textId="77777777" w:rsidR="009E5B11" w:rsidRDefault="009E5B11" w:rsidP="009E5B11">
      <w:pPr>
        <w:numPr>
          <w:ilvl w:val="0"/>
          <w:numId w:val="1"/>
        </w:numPr>
        <w:spacing w:after="120" w:line="254" w:lineRule="auto"/>
        <w:contextualSpacing/>
        <w:jc w:val="both"/>
        <w:rPr>
          <w:rFonts w:ascii="Century Gothic" w:eastAsia="Calibri" w:hAnsi="Century Gothic" w:cs="Times New Roman"/>
          <w:sz w:val="19"/>
          <w:szCs w:val="19"/>
        </w:rPr>
      </w:pPr>
      <w:r>
        <w:rPr>
          <w:rFonts w:ascii="Century Gothic" w:eastAsia="Calibri" w:hAnsi="Century Gothic" w:cs="Times New Roman"/>
          <w:sz w:val="19"/>
          <w:szCs w:val="19"/>
        </w:rPr>
        <w:t>It is proposed that the Equality and Diversity Unit does this in three ways; Creating, Checking and Championing Best Practice in Equality and Diversity. This Departmental Remit would be explained as follows:</w:t>
      </w:r>
    </w:p>
    <w:p w14:paraId="104AB0DE" w14:textId="77777777" w:rsidR="009E5B11" w:rsidRDefault="009E5B11" w:rsidP="009E5B11">
      <w:pPr>
        <w:spacing w:after="120" w:line="254" w:lineRule="auto"/>
        <w:ind w:left="720"/>
        <w:contextualSpacing/>
        <w:jc w:val="both"/>
        <w:rPr>
          <w:rFonts w:ascii="Century Gothic" w:eastAsia="Calibri" w:hAnsi="Century Gothic" w:cs="Times New Roman"/>
          <w:sz w:val="19"/>
          <w:szCs w:val="19"/>
        </w:rPr>
      </w:pPr>
    </w:p>
    <w:tbl>
      <w:tblPr>
        <w:tblStyle w:val="TableGrid2"/>
        <w:tblW w:w="9016" w:type="dxa"/>
        <w:tblInd w:w="720" w:type="dxa"/>
        <w:tblLook w:val="04A0" w:firstRow="1" w:lastRow="0" w:firstColumn="1" w:lastColumn="0" w:noHBand="0" w:noVBand="1"/>
      </w:tblPr>
      <w:tblGrid>
        <w:gridCol w:w="3005"/>
        <w:gridCol w:w="3005"/>
        <w:gridCol w:w="3006"/>
      </w:tblGrid>
      <w:tr w:rsidR="009E5B11" w14:paraId="672794CE" w14:textId="77777777" w:rsidTr="008E37EF">
        <w:tc>
          <w:tcPr>
            <w:tcW w:w="30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C6FDF79" w14:textId="77777777" w:rsidR="009E5B11" w:rsidRDefault="009E5B11" w:rsidP="008E37EF">
            <w:pPr>
              <w:jc w:val="center"/>
              <w:rPr>
                <w:rFonts w:ascii="Century Gothic" w:hAnsi="Century Gothic"/>
                <w:b/>
                <w:sz w:val="19"/>
                <w:szCs w:val="19"/>
              </w:rPr>
            </w:pPr>
            <w:r>
              <w:rPr>
                <w:rFonts w:ascii="Century Gothic" w:hAnsi="Century Gothic"/>
                <w:b/>
                <w:sz w:val="19"/>
                <w:szCs w:val="19"/>
              </w:rPr>
              <w:t>Create</w:t>
            </w:r>
          </w:p>
        </w:tc>
        <w:tc>
          <w:tcPr>
            <w:tcW w:w="300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ADCE43D" w14:textId="77777777" w:rsidR="009E5B11" w:rsidRDefault="009E5B11" w:rsidP="008E37EF">
            <w:pPr>
              <w:jc w:val="center"/>
              <w:rPr>
                <w:rFonts w:ascii="Century Gothic" w:hAnsi="Century Gothic"/>
                <w:b/>
                <w:sz w:val="19"/>
                <w:szCs w:val="19"/>
              </w:rPr>
            </w:pPr>
            <w:r>
              <w:rPr>
                <w:rFonts w:ascii="Century Gothic" w:hAnsi="Century Gothic"/>
                <w:b/>
                <w:sz w:val="19"/>
                <w:szCs w:val="19"/>
              </w:rPr>
              <w:t>Check</w:t>
            </w:r>
          </w:p>
        </w:tc>
        <w:tc>
          <w:tcPr>
            <w:tcW w:w="30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2CA7A0" w14:textId="77777777" w:rsidR="009E5B11" w:rsidRDefault="009E5B11" w:rsidP="008E37EF">
            <w:pPr>
              <w:jc w:val="center"/>
              <w:rPr>
                <w:rFonts w:ascii="Century Gothic" w:hAnsi="Century Gothic"/>
                <w:b/>
                <w:sz w:val="19"/>
                <w:szCs w:val="19"/>
              </w:rPr>
            </w:pPr>
            <w:r>
              <w:rPr>
                <w:rFonts w:ascii="Century Gothic" w:hAnsi="Century Gothic"/>
                <w:b/>
                <w:sz w:val="19"/>
                <w:szCs w:val="19"/>
              </w:rPr>
              <w:t>Champion</w:t>
            </w:r>
          </w:p>
        </w:tc>
      </w:tr>
      <w:tr w:rsidR="009E5B11" w14:paraId="0BD69B63" w14:textId="77777777" w:rsidTr="009E5B11">
        <w:trPr>
          <w:trHeight w:val="942"/>
        </w:trPr>
        <w:tc>
          <w:tcPr>
            <w:tcW w:w="30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8485BD" w14:textId="77777777" w:rsidR="009E5B11" w:rsidRDefault="009E5B11" w:rsidP="008E37EF">
            <w:pPr>
              <w:jc w:val="center"/>
              <w:rPr>
                <w:rFonts w:ascii="Century Gothic" w:hAnsi="Century Gothic"/>
                <w:sz w:val="19"/>
                <w:szCs w:val="19"/>
              </w:rPr>
            </w:pPr>
            <w:r>
              <w:rPr>
                <w:rFonts w:ascii="Century Gothic" w:hAnsi="Century Gothic"/>
                <w:sz w:val="19"/>
                <w:szCs w:val="19"/>
              </w:rPr>
              <w:t>Develop clear policies and procedures to define best practice.</w:t>
            </w:r>
          </w:p>
        </w:tc>
        <w:tc>
          <w:tcPr>
            <w:tcW w:w="300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B0B9AE0" w14:textId="77777777" w:rsidR="009E5B11" w:rsidRDefault="009E5B11" w:rsidP="008E37EF">
            <w:pPr>
              <w:jc w:val="center"/>
              <w:rPr>
                <w:rFonts w:ascii="Century Gothic" w:hAnsi="Century Gothic"/>
                <w:sz w:val="19"/>
                <w:szCs w:val="19"/>
              </w:rPr>
            </w:pPr>
            <w:r>
              <w:rPr>
                <w:rFonts w:ascii="Century Gothic" w:hAnsi="Century Gothic"/>
                <w:sz w:val="19"/>
                <w:szCs w:val="19"/>
              </w:rPr>
              <w:t>Monitor implementation of initiatives and highlight non-engagement.</w:t>
            </w:r>
          </w:p>
        </w:tc>
        <w:tc>
          <w:tcPr>
            <w:tcW w:w="30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41368E" w14:textId="77777777" w:rsidR="009E5B11" w:rsidRDefault="009E5B11" w:rsidP="009E5B11">
            <w:pPr>
              <w:jc w:val="center"/>
              <w:rPr>
                <w:rFonts w:ascii="Century Gothic" w:hAnsi="Century Gothic"/>
                <w:sz w:val="19"/>
                <w:szCs w:val="19"/>
              </w:rPr>
            </w:pPr>
            <w:r>
              <w:rPr>
                <w:rFonts w:ascii="Century Gothic" w:hAnsi="Century Gothic"/>
                <w:sz w:val="19"/>
                <w:szCs w:val="19"/>
              </w:rPr>
              <w:t>Raise the profile of Equality and D</w:t>
            </w:r>
            <w:r>
              <w:rPr>
                <w:rFonts w:ascii="Century Gothic" w:hAnsi="Century Gothic"/>
                <w:sz w:val="19"/>
                <w:szCs w:val="19"/>
              </w:rPr>
              <w:t>iversity within the University.</w:t>
            </w:r>
            <w:bookmarkStart w:id="0" w:name="_GoBack"/>
            <w:bookmarkEnd w:id="0"/>
          </w:p>
        </w:tc>
      </w:tr>
      <w:tr w:rsidR="009E5B11" w14:paraId="1996C947" w14:textId="77777777" w:rsidTr="008E37EF">
        <w:trPr>
          <w:trHeight w:val="692"/>
        </w:trPr>
        <w:tc>
          <w:tcPr>
            <w:tcW w:w="30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13E87A" w14:textId="77777777" w:rsidR="009E5B11" w:rsidRDefault="009E5B11" w:rsidP="009E5B11">
            <w:pPr>
              <w:jc w:val="center"/>
              <w:rPr>
                <w:rFonts w:ascii="Century Gothic" w:hAnsi="Century Gothic"/>
                <w:sz w:val="19"/>
                <w:szCs w:val="19"/>
              </w:rPr>
            </w:pPr>
            <w:r>
              <w:rPr>
                <w:rFonts w:ascii="Century Gothic" w:hAnsi="Century Gothic"/>
                <w:sz w:val="19"/>
                <w:szCs w:val="19"/>
              </w:rPr>
              <w:t>Inform and advise staff and student</w:t>
            </w:r>
            <w:r>
              <w:rPr>
                <w:rFonts w:ascii="Century Gothic" w:hAnsi="Century Gothic"/>
                <w:sz w:val="19"/>
                <w:szCs w:val="19"/>
              </w:rPr>
              <w:t>s about Equality and Diversity.</w:t>
            </w:r>
          </w:p>
        </w:tc>
        <w:tc>
          <w:tcPr>
            <w:tcW w:w="300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DCA5D0B" w14:textId="77777777" w:rsidR="009E5B11" w:rsidRDefault="009E5B11" w:rsidP="008E37EF">
            <w:pPr>
              <w:jc w:val="center"/>
              <w:rPr>
                <w:rFonts w:ascii="Century Gothic" w:hAnsi="Century Gothic"/>
                <w:sz w:val="19"/>
                <w:szCs w:val="19"/>
              </w:rPr>
            </w:pPr>
            <w:r>
              <w:rPr>
                <w:rFonts w:ascii="Century Gothic" w:hAnsi="Century Gothic"/>
                <w:sz w:val="19"/>
                <w:szCs w:val="19"/>
              </w:rPr>
              <w:t>Evaluate institutional progress against the Equality Objectives.</w:t>
            </w:r>
          </w:p>
        </w:tc>
        <w:tc>
          <w:tcPr>
            <w:tcW w:w="30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606F34" w14:textId="77777777" w:rsidR="009E5B11" w:rsidRDefault="009E5B11" w:rsidP="008E37EF">
            <w:pPr>
              <w:jc w:val="center"/>
              <w:rPr>
                <w:rFonts w:ascii="Century Gothic" w:hAnsi="Century Gothic"/>
                <w:sz w:val="19"/>
                <w:szCs w:val="19"/>
              </w:rPr>
            </w:pPr>
            <w:r>
              <w:rPr>
                <w:rFonts w:ascii="Century Gothic" w:hAnsi="Century Gothic"/>
                <w:sz w:val="19"/>
                <w:szCs w:val="19"/>
              </w:rPr>
              <w:t>Build relationships with the local community and national organisations.</w:t>
            </w:r>
          </w:p>
        </w:tc>
      </w:tr>
      <w:tr w:rsidR="009E5B11" w14:paraId="11973297" w14:textId="77777777" w:rsidTr="008E37EF">
        <w:tc>
          <w:tcPr>
            <w:tcW w:w="30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8B462CA" w14:textId="77777777" w:rsidR="009E5B11" w:rsidRDefault="009E5B11" w:rsidP="009E5B11">
            <w:pPr>
              <w:jc w:val="center"/>
              <w:rPr>
                <w:rFonts w:ascii="Century Gothic" w:hAnsi="Century Gothic"/>
                <w:sz w:val="19"/>
                <w:szCs w:val="19"/>
              </w:rPr>
            </w:pPr>
            <w:r>
              <w:rPr>
                <w:rFonts w:ascii="Century Gothic" w:hAnsi="Century Gothic"/>
                <w:sz w:val="19"/>
                <w:szCs w:val="19"/>
              </w:rPr>
              <w:t>Support the Staff Networks a</w:t>
            </w:r>
            <w:r>
              <w:rPr>
                <w:rFonts w:ascii="Century Gothic" w:hAnsi="Century Gothic"/>
                <w:sz w:val="19"/>
                <w:szCs w:val="19"/>
              </w:rPr>
              <w:t>nd Faculty E&amp;D Representatives.</w:t>
            </w:r>
          </w:p>
        </w:tc>
        <w:tc>
          <w:tcPr>
            <w:tcW w:w="300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B3EA97D" w14:textId="77777777" w:rsidR="009E5B11" w:rsidRDefault="009E5B11" w:rsidP="008E37EF">
            <w:pPr>
              <w:jc w:val="center"/>
              <w:rPr>
                <w:rFonts w:ascii="Century Gothic" w:hAnsi="Century Gothic"/>
                <w:sz w:val="19"/>
                <w:szCs w:val="19"/>
              </w:rPr>
            </w:pPr>
            <w:r>
              <w:rPr>
                <w:rFonts w:ascii="Century Gothic" w:hAnsi="Century Gothic"/>
                <w:sz w:val="19"/>
                <w:szCs w:val="19"/>
              </w:rPr>
              <w:t>Challenge institutional underperformance.</w:t>
            </w:r>
          </w:p>
        </w:tc>
        <w:tc>
          <w:tcPr>
            <w:tcW w:w="30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F8EC8A" w14:textId="77777777" w:rsidR="009E5B11" w:rsidRDefault="009E5B11" w:rsidP="008E37EF">
            <w:pPr>
              <w:jc w:val="center"/>
              <w:rPr>
                <w:rFonts w:ascii="Century Gothic" w:hAnsi="Century Gothic"/>
                <w:sz w:val="19"/>
                <w:szCs w:val="19"/>
              </w:rPr>
            </w:pPr>
            <w:r>
              <w:rPr>
                <w:rFonts w:ascii="Century Gothic" w:hAnsi="Century Gothic"/>
                <w:sz w:val="19"/>
                <w:szCs w:val="19"/>
              </w:rPr>
              <w:t>Secure recognition of the University’s Equality and Diversity work</w:t>
            </w:r>
          </w:p>
        </w:tc>
      </w:tr>
    </w:tbl>
    <w:p w14:paraId="707C9721" w14:textId="77777777" w:rsidR="009E5B11" w:rsidRDefault="009E5B11" w:rsidP="009E5B11">
      <w:pPr>
        <w:spacing w:after="160" w:line="254" w:lineRule="auto"/>
        <w:ind w:left="720"/>
        <w:contextualSpacing/>
        <w:jc w:val="both"/>
        <w:rPr>
          <w:rFonts w:ascii="Century Gothic" w:eastAsia="Calibri" w:hAnsi="Century Gothic" w:cs="Times New Roman"/>
          <w:sz w:val="19"/>
          <w:szCs w:val="19"/>
        </w:rPr>
      </w:pPr>
    </w:p>
    <w:p w14:paraId="76BEC9BE" w14:textId="77777777" w:rsidR="009E5B11" w:rsidRDefault="009E5B11" w:rsidP="009E5B11">
      <w:pPr>
        <w:numPr>
          <w:ilvl w:val="0"/>
          <w:numId w:val="1"/>
        </w:numPr>
        <w:spacing w:after="160" w:line="254" w:lineRule="auto"/>
        <w:contextualSpacing/>
        <w:jc w:val="both"/>
        <w:rPr>
          <w:rFonts w:ascii="Century Gothic" w:eastAsia="Calibri" w:hAnsi="Century Gothic" w:cs="Times New Roman"/>
          <w:sz w:val="19"/>
          <w:szCs w:val="19"/>
        </w:rPr>
      </w:pPr>
      <w:r>
        <w:rPr>
          <w:rFonts w:ascii="Century Gothic" w:eastAsia="Calibri" w:hAnsi="Century Gothic" w:cs="Times New Roman"/>
          <w:sz w:val="19"/>
          <w:szCs w:val="19"/>
        </w:rPr>
        <w:t>To ensure that the Equality and Diversity Unit maintains this focus and delivers on its new priorities, the following practical steps would have to be made:</w:t>
      </w:r>
    </w:p>
    <w:p w14:paraId="104E6880" w14:textId="77777777" w:rsidR="009E5B11" w:rsidRDefault="009E5B11" w:rsidP="009E5B11">
      <w:pPr>
        <w:numPr>
          <w:ilvl w:val="1"/>
          <w:numId w:val="1"/>
        </w:numPr>
        <w:spacing w:after="160" w:line="254" w:lineRule="auto"/>
        <w:contextualSpacing/>
        <w:jc w:val="both"/>
        <w:rPr>
          <w:rFonts w:ascii="Century Gothic" w:eastAsia="Calibri" w:hAnsi="Century Gothic" w:cs="Times New Roman"/>
          <w:sz w:val="19"/>
          <w:szCs w:val="19"/>
        </w:rPr>
      </w:pPr>
      <w:r>
        <w:rPr>
          <w:rFonts w:ascii="Century Gothic" w:eastAsia="Calibri" w:hAnsi="Century Gothic" w:cs="Times New Roman"/>
          <w:sz w:val="19"/>
          <w:szCs w:val="19"/>
        </w:rPr>
        <w:t xml:space="preserve">A key element of the new EDU Remit will be confirming that the Directorate of Human Resources should take the lead on all staff complaints, with the EDU and/or relevant Staff Network or Faculty E&amp;D Representatives, playing a supporting role.  This shall release the staff time necessary to realise the EDU’s proactive agenda. </w:t>
      </w:r>
    </w:p>
    <w:p w14:paraId="2B0BAE53" w14:textId="77777777" w:rsidR="009E5B11" w:rsidRDefault="009E5B11" w:rsidP="009E5B11">
      <w:pPr>
        <w:numPr>
          <w:ilvl w:val="1"/>
          <w:numId w:val="1"/>
        </w:numPr>
        <w:spacing w:after="160" w:line="254" w:lineRule="auto"/>
        <w:contextualSpacing/>
        <w:jc w:val="both"/>
        <w:rPr>
          <w:rFonts w:ascii="Century Gothic" w:eastAsia="Calibri" w:hAnsi="Century Gothic" w:cs="Times New Roman"/>
          <w:sz w:val="19"/>
          <w:szCs w:val="19"/>
        </w:rPr>
      </w:pPr>
      <w:r>
        <w:rPr>
          <w:rFonts w:ascii="Century Gothic" w:eastAsia="Calibri" w:hAnsi="Century Gothic" w:cs="Times New Roman"/>
          <w:sz w:val="19"/>
          <w:szCs w:val="19"/>
        </w:rPr>
        <w:t xml:space="preserve">While the EDU should continue to provide a central planning service for staff, student and community events focused on Equality and Diversity, it is recognised that these events must be evaluated against their success in meeting the broader aims of the University (i.e. Student Satisfaction, Student Recruitment, Local Community Relations or National Recognition). </w:t>
      </w:r>
    </w:p>
    <w:p w14:paraId="7A2B65FD" w14:textId="77777777" w:rsidR="009E5B11" w:rsidRDefault="009E5B11" w:rsidP="009E5B11">
      <w:pPr>
        <w:numPr>
          <w:ilvl w:val="1"/>
          <w:numId w:val="1"/>
        </w:numPr>
        <w:spacing w:after="120" w:line="254" w:lineRule="auto"/>
        <w:contextualSpacing/>
        <w:jc w:val="both"/>
        <w:rPr>
          <w:rFonts w:ascii="Century Gothic" w:eastAsia="Calibri" w:hAnsi="Century Gothic" w:cs="Times New Roman"/>
          <w:sz w:val="19"/>
          <w:szCs w:val="19"/>
        </w:rPr>
      </w:pPr>
      <w:r>
        <w:rPr>
          <w:rFonts w:ascii="Century Gothic" w:eastAsia="Calibri" w:hAnsi="Century Gothic" w:cs="Times New Roman"/>
          <w:sz w:val="19"/>
          <w:szCs w:val="19"/>
        </w:rPr>
        <w:t xml:space="preserve">The EDU will need to develop a closer working relationship with the Strategic Planning and Performance Office to fulfil its responsibility to monitor and evaluate the progress of academic departments and professional services in meeting the Equality Objectives. </w:t>
      </w:r>
    </w:p>
    <w:p w14:paraId="6DF491D2" w14:textId="77777777" w:rsidR="009E5B11" w:rsidRDefault="009E5B11" w:rsidP="009E5B11">
      <w:pPr>
        <w:spacing w:after="120" w:line="254" w:lineRule="auto"/>
        <w:ind w:left="720"/>
        <w:contextualSpacing/>
        <w:jc w:val="both"/>
        <w:rPr>
          <w:rFonts w:ascii="Century Gothic" w:eastAsia="Calibri" w:hAnsi="Century Gothic" w:cs="Times New Roman"/>
          <w:sz w:val="19"/>
          <w:szCs w:val="19"/>
        </w:rPr>
      </w:pPr>
    </w:p>
    <w:p w14:paraId="5A8B0951" w14:textId="77777777" w:rsidR="009E5B11" w:rsidRPr="00734421" w:rsidRDefault="009E5B11" w:rsidP="009E5B11">
      <w:pPr>
        <w:spacing w:after="160" w:line="254" w:lineRule="auto"/>
        <w:jc w:val="both"/>
        <w:rPr>
          <w:rFonts w:ascii="Century Gothic" w:eastAsia="Calibri" w:hAnsi="Century Gothic" w:cs="Times New Roman"/>
          <w:sz w:val="19"/>
          <w:szCs w:val="19"/>
        </w:rPr>
      </w:pPr>
      <w:r>
        <w:rPr>
          <w:rFonts w:ascii="Century Gothic" w:eastAsia="Calibri" w:hAnsi="Century Gothic" w:cs="Times New Roman"/>
          <w:b/>
          <w:sz w:val="19"/>
          <w:szCs w:val="19"/>
        </w:rPr>
        <w:t>Report Author:</w:t>
      </w:r>
      <w:r>
        <w:rPr>
          <w:rFonts w:ascii="Century Gothic" w:eastAsia="Calibri" w:hAnsi="Century Gothic" w:cs="Times New Roman"/>
          <w:sz w:val="19"/>
          <w:szCs w:val="19"/>
        </w:rPr>
        <w:t xml:space="preserve"> Will Cooling </w:t>
      </w:r>
      <w:r>
        <w:rPr>
          <w:rFonts w:ascii="Century Gothic" w:eastAsia="Calibri" w:hAnsi="Century Gothic" w:cs="Times New Roman"/>
          <w:sz w:val="19"/>
          <w:szCs w:val="19"/>
        </w:rPr>
        <w:tab/>
      </w:r>
      <w:r>
        <w:rPr>
          <w:rFonts w:ascii="Century Gothic" w:eastAsia="Calibri" w:hAnsi="Century Gothic" w:cs="Times New Roman"/>
          <w:sz w:val="19"/>
          <w:szCs w:val="19"/>
        </w:rPr>
        <w:tab/>
      </w:r>
      <w:r>
        <w:rPr>
          <w:rFonts w:ascii="Century Gothic" w:eastAsia="Calibri" w:hAnsi="Century Gothic" w:cs="Times New Roman"/>
          <w:sz w:val="19"/>
          <w:szCs w:val="19"/>
        </w:rPr>
        <w:tab/>
      </w:r>
      <w:r>
        <w:rPr>
          <w:rFonts w:ascii="Century Gothic" w:eastAsia="Calibri" w:hAnsi="Century Gothic" w:cs="Times New Roman"/>
          <w:b/>
          <w:sz w:val="19"/>
          <w:szCs w:val="19"/>
        </w:rPr>
        <w:t>Report Date:</w:t>
      </w:r>
      <w:r>
        <w:rPr>
          <w:rFonts w:ascii="Century Gothic" w:eastAsia="Calibri" w:hAnsi="Century Gothic" w:cs="Times New Roman"/>
          <w:sz w:val="19"/>
          <w:szCs w:val="19"/>
        </w:rPr>
        <w:t xml:space="preserve"> Wednesday 16</w:t>
      </w:r>
      <w:r>
        <w:rPr>
          <w:rFonts w:ascii="Century Gothic" w:eastAsia="Calibri" w:hAnsi="Century Gothic" w:cs="Times New Roman"/>
          <w:sz w:val="19"/>
          <w:szCs w:val="19"/>
          <w:vertAlign w:val="superscript"/>
        </w:rPr>
        <w:t>th</w:t>
      </w:r>
      <w:r>
        <w:rPr>
          <w:rFonts w:ascii="Century Gothic" w:eastAsia="Calibri" w:hAnsi="Century Gothic" w:cs="Times New Roman"/>
          <w:sz w:val="19"/>
          <w:szCs w:val="19"/>
        </w:rPr>
        <w:t xml:space="preserve"> November 2016</w:t>
      </w:r>
    </w:p>
    <w:p w14:paraId="22F15526" w14:textId="77777777" w:rsidR="00813B20" w:rsidRDefault="009E5B11"/>
    <w:sectPr w:rsidR="00813B20" w:rsidSect="00924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83656"/>
    <w:multiLevelType w:val="hybridMultilevel"/>
    <w:tmpl w:val="C4269626"/>
    <w:lvl w:ilvl="0" w:tplc="C6764692">
      <w:start w:val="1"/>
      <w:numFmt w:val="decimal"/>
      <w:lvlText w:val="%1."/>
      <w:lvlJc w:val="left"/>
      <w:pPr>
        <w:ind w:left="720" w:hanging="360"/>
      </w:pPr>
      <w:rPr>
        <w:rFonts w:ascii="Century Gothic" w:hAnsi="Century Gothic"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11"/>
    <w:rsid w:val="00876C12"/>
    <w:rsid w:val="009E5B11"/>
    <w:rsid w:val="00C6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17E8"/>
  <w15:chartTrackingRefBased/>
  <w15:docId w15:val="{D2E31998-0EED-4247-804D-52B9711F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5B1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9E5B1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Cooling</dc:creator>
  <cp:keywords/>
  <dc:description/>
  <cp:lastModifiedBy>Will Cooling</cp:lastModifiedBy>
  <cp:revision>1</cp:revision>
  <dcterms:created xsi:type="dcterms:W3CDTF">2017-05-30T15:06:00Z</dcterms:created>
  <dcterms:modified xsi:type="dcterms:W3CDTF">2017-05-30T15:07:00Z</dcterms:modified>
</cp:coreProperties>
</file>